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C" w:rsidRDefault="00AD44FC" w:rsidP="00AD44FC">
      <w:pPr>
        <w:pStyle w:val="TableParagraph"/>
        <w:ind w:left="109"/>
        <w:rPr>
          <w:sz w:val="16"/>
        </w:rPr>
      </w:pPr>
      <w:r>
        <w:t>50</w:t>
      </w:r>
      <w:r w:rsidR="0013155C">
        <w:t xml:space="preserve"> </w:t>
      </w:r>
      <w:r w:rsidR="009A5670">
        <w:t xml:space="preserve"> </w:t>
      </w:r>
      <w:r>
        <w:rPr>
          <w:sz w:val="16"/>
        </w:rPr>
        <w:t>Монтажник механического оборудования подъемных</w:t>
      </w:r>
      <w:r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сооружений (4 уровень квалификации)</w:t>
      </w:r>
    </w:p>
    <w:p w:rsidR="0093125C" w:rsidRDefault="0093125C" w:rsidP="0093125C">
      <w:pPr>
        <w:pStyle w:val="TableParagraph"/>
        <w:ind w:left="109"/>
        <w:rPr>
          <w:sz w:val="16"/>
        </w:rPr>
      </w:pPr>
    </w:p>
    <w:p w:rsidR="00D93B11" w:rsidRDefault="00D93B11" w:rsidP="001B644A">
      <w:pPr>
        <w:pStyle w:val="TableParagraph"/>
        <w:ind w:left="109"/>
        <w:rPr>
          <w:sz w:val="16"/>
        </w:rPr>
      </w:pPr>
    </w:p>
    <w:p w:rsidR="009A5670" w:rsidRDefault="009A5670" w:rsidP="009A5670">
      <w:pPr>
        <w:pStyle w:val="TableParagraph"/>
        <w:ind w:left="109"/>
        <w:rPr>
          <w:sz w:val="16"/>
        </w:rPr>
      </w:pP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3741DD"/>
    <w:rsid w:val="00591661"/>
    <w:rsid w:val="006847F2"/>
    <w:rsid w:val="006C7B0A"/>
    <w:rsid w:val="006D2E34"/>
    <w:rsid w:val="007D2216"/>
    <w:rsid w:val="0093125C"/>
    <w:rsid w:val="009A5670"/>
    <w:rsid w:val="00AD44FC"/>
    <w:rsid w:val="00C95384"/>
    <w:rsid w:val="00D115A0"/>
    <w:rsid w:val="00D16EB6"/>
    <w:rsid w:val="00D93B11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2018-02-07T06:00:00Z</dcterms:created>
  <dcterms:modified xsi:type="dcterms:W3CDTF">2018-02-07T06:00:00Z</dcterms:modified>
</cp:coreProperties>
</file>